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50041" cy="8728818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66545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6350041" cy="87288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0.0pt;height:687.3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r/>
      <w:r/>
    </w:p>
    <w:p>
      <w:r/>
      <w:r/>
    </w:p>
    <w:p>
      <w:pPr>
        <w:jc w:val="center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Дополнительное соглашение</w:t>
      </w:r>
      <w:r/>
      <w:r/>
    </w:p>
    <w:p>
      <w:pPr>
        <w:jc w:val="center"/>
        <w:spacing w:after="0" w:line="240" w:lineRule="auto"/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Коллективный договор между работодателем муниципального бюджетного общеобразовательного учреждения «Митряевская начальная общеобразовательная школа» и работниками учреждения образования на 202</w:t>
      </w:r>
      <w:r>
        <w:rPr>
          <w:rFonts w:ascii="Times New Roman" w:hAnsi="Times New Roman" w:cs="Times New Roman"/>
          <w:sz w:val="28"/>
          <w:szCs w:val="28"/>
        </w:rPr>
        <w:t xml:space="preserve">4-202</w:t>
      </w:r>
      <w:r>
        <w:rPr>
          <w:rFonts w:ascii="Times New Roman" w:hAnsi="Times New Roman" w:cs="Times New Roman"/>
          <w:sz w:val="28"/>
          <w:szCs w:val="28"/>
        </w:rPr>
        <w:t xml:space="preserve">6 годы.</w:t>
      </w:r>
      <w:r>
        <w:rPr>
          <w:rFonts w:ascii="Times New Roman" w:hAnsi="Times New Roman" w:cs="Times New Roman"/>
          <w:b/>
          <w:bCs/>
          <w:i/>
        </w:rPr>
      </w:r>
      <w:r/>
    </w:p>
    <w:p>
      <w:pPr>
        <w:ind w:firstLine="708"/>
        <w:jc w:val="both"/>
        <w:spacing w:after="0" w:line="240" w:lineRule="auto"/>
      </w:pPr>
      <w:r/>
      <w:r/>
      <w:r/>
    </w:p>
    <w:p>
      <w:pPr>
        <w:pStyle w:val="1_1876"/>
        <w:contextualSpacing/>
        <w:ind w:firstLine="709"/>
        <w:jc w:val="center"/>
        <w:outlineLvl w:val="0"/>
      </w:pPr>
      <w:r>
        <w:rPr>
          <w:b/>
          <w:bCs/>
          <w:caps/>
          <w:sz w:val="24"/>
          <w:szCs w:val="24"/>
          <w:lang w:val="ru-RU"/>
        </w:rPr>
        <w:t xml:space="preserve">Раздел </w:t>
      </w:r>
      <w:r>
        <w:rPr>
          <w:b/>
          <w:bCs/>
          <w:caps/>
          <w:sz w:val="24"/>
          <w:szCs w:val="24"/>
          <w:lang w:val="en-US"/>
        </w:rPr>
        <w:t xml:space="preserve">II</w:t>
      </w:r>
      <w:r>
        <w:rPr>
          <w:b/>
          <w:bCs/>
          <w:caps/>
          <w:sz w:val="24"/>
          <w:szCs w:val="24"/>
        </w:rPr>
        <w:t xml:space="preserve">. ТРУДОВОЙ ДОГОВОР, ГАРАНТИИ ПРИ ЗАКЛЮЧЕНИИ, изменении И РАСТОРЖЕНИИ ТРУДОВОГО ДОГОВОРа</w:t>
      </w:r>
      <w:r>
        <w:rPr>
          <w:b/>
          <w:bCs/>
          <w:caps/>
          <w:sz w:val="24"/>
          <w:szCs w:val="24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Добавить П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ункт 2.2.8.1.: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10" w:tooltip="https://internet.garant.ru/#/multilink/70291362/paragraph/10555207/number/1" w:anchor="/multilink/70291362/paragraph/10555207/number/1" w:history="1">
        <w:r>
          <w:rPr>
            <w:rStyle w:val="173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shd w:val="clear" w:color="auto" w:fill="ffffff"/>
          </w:rPr>
          <w:t xml:space="preserve">квалификационных справочниках</w:t>
        </w:r>
      </w:hyperlink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, и (или) </w:t>
      </w:r>
      <w:hyperlink r:id="rId11" w:tooltip="https://internet.garant.ru/#/document/57746200/entry/0" w:anchor="/document/57746200/entry/0" w:history="1">
        <w:r>
          <w:rPr>
            <w:rStyle w:val="173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shd w:val="clear" w:color="auto" w:fill="ffffff"/>
          </w:rPr>
          <w:t xml:space="preserve">профессиональным стандартам</w:t>
        </w:r>
      </w:hyperlink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, если иное не установлено настоящим Федеральным законом.</w:t>
      </w:r>
      <w:r/>
      <w:r/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Лица, обучающиеся по образовательным программам высшего образования по специальностям и направлениям подготовки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Образование и педагогические науки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 и успешно прошедшие промежуточную аттестацию не менее чем за три года обучения, допускаются к занятию педагогической деятельность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</w:t>
      </w:r>
      <w:r>
        <w:rPr>
          <w:rFonts w:ascii="PT Serif" w:hAnsi="PT Serif" w:eastAsia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  <w:t xml:space="preserve">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  <w:r/>
      <w:r/>
    </w:p>
    <w:p>
      <w:pPr>
        <w:ind w:firstLine="709"/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Образование и педагогические науки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  <w:r/>
      <w:r/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направлениям подготовки, соответствующим направленности дополнительных 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  <w:r/>
      <w:r/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  <w:r/>
      <w:r/>
    </w:p>
    <w:p>
      <w:pPr>
        <w:ind w:firstLine="709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</w:r>
      <w:r/>
      <w:r/>
    </w:p>
    <w:p>
      <w:pPr>
        <w:ind w:firstLine="709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Раздел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val="en-US"/>
          <w14:ligatures w14:val="all"/>
        </w:rPr>
        <w:t xml:space="preserve">III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. Трудовые отношения, рабочее время и время отдыха</w:t>
      </w:r>
      <w:r/>
      <w:r/>
    </w:p>
    <w:p>
      <w:pPr>
        <w:ind w:firstLine="708"/>
        <w:spacing w:after="0" w:line="240" w:lineRule="auto"/>
      </w:pP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Пункт 3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а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бзац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первый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 изложить в следующей редакции: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bCs/>
          <w:spacing w:val="-2"/>
          <w:sz w:val="28"/>
          <w:szCs w:val="28"/>
          <w:lang w:eastAsia="ru-RU"/>
          <w14:ligatures w14:val="all"/>
        </w:rPr>
        <w:t xml:space="preserve">На основании приказа Министерства пр</w:t>
      </w:r>
      <w:r>
        <w:rPr>
          <w:rFonts w:ascii="Times New Roman" w:hAnsi="Times New Roman" w:eastAsia="Times New Roman" w:cs="Times New Roman"/>
          <w:bCs/>
          <w:spacing w:val="-2"/>
          <w:sz w:val="28"/>
          <w:szCs w:val="28"/>
          <w:lang w:eastAsia="ru-RU"/>
          <w14:ligatures w14:val="all"/>
        </w:rPr>
        <w:t xml:space="preserve">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</w:t>
      </w:r>
      <w:r>
        <w:rPr>
          <w:rFonts w:ascii="Times New Roman" w:hAnsi="Times New Roman" w:eastAsia="Times New Roman" w:cs="Times New Roman"/>
          <w:bCs/>
          <w:spacing w:val="-2"/>
          <w:sz w:val="28"/>
          <w:szCs w:val="28"/>
          <w:lang w:eastAsia="ru-RU"/>
          <w14:ligatures w14:val="all"/>
        </w:rPr>
        <w:t xml:space="preserve">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>
        <w:rPr>
          <w:rFonts w:ascii="PT Serif" w:hAnsi="PT Serif"/>
          <w:spacing w:val="-2"/>
          <w:sz w:val="39"/>
          <w:szCs w:val="39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установленный педагогическому работнику объем учебной нагрузки оговаривается в трудовом договоре.</w:t>
      </w:r>
      <w:r>
        <w:rPr>
          <w:rFonts w:ascii="Times New Roman" w:hAnsi="Times New Roman" w:eastAsia="Times New Roman" w:cs="Times New Roman"/>
          <w:lang w:eastAsia="ru-RU"/>
        </w:rPr>
      </w:r>
      <w:r/>
    </w:p>
    <w:p>
      <w:pPr>
        <w:ind w:firstLine="708"/>
        <w:spacing w:after="0" w:line="240" w:lineRule="auto"/>
      </w:pP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highlight w:val="none"/>
          <w:lang w:eastAsia="ru-RU"/>
          <w14:ligatures w14:val="all"/>
        </w:rPr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  <w:lang w:eastAsia="ru-RU"/>
          <w14:ligatures w14:val="all"/>
        </w:rPr>
      </w:r>
      <w:r/>
    </w:p>
    <w:p>
      <w:pPr>
        <w:ind w:firstLine="708"/>
        <w:spacing w:after="0" w:line="240" w:lineRule="auto"/>
      </w:pP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Добавить Пункт 3.1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.,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изложить в следующей редакции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  <w:highlight w:val="none"/>
          <w:lang w:eastAsia="ru-RU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bCs/>
          <w:spacing w:val="-2"/>
          <w:sz w:val="28"/>
          <w:szCs w:val="28"/>
          <w:lang w:eastAsia="ru-RU"/>
          <w14:ligatures w14:val="all"/>
        </w:rPr>
        <w:t xml:space="preserve">Продолжительность рабочего времени, режим рабочего времени педагогических работников (нормы часов педагогической работы за ставку заработной платы) рег</w:t>
      </w:r>
      <w:r>
        <w:rPr>
          <w:rFonts w:ascii="Times New Roman" w:hAnsi="Times New Roman" w:eastAsia="Times New Roman" w:cs="Times New Roman"/>
          <w:bCs/>
          <w:spacing w:val="-2"/>
          <w:sz w:val="28"/>
          <w:szCs w:val="28"/>
          <w:lang w:eastAsia="ru-RU"/>
          <w14:ligatures w14:val="all"/>
        </w:rPr>
        <w:t xml:space="preserve">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</w:t>
      </w:r>
      <w:r>
        <w:rPr>
          <w:rFonts w:ascii="Times New Roman" w:hAnsi="Times New Roman" w:eastAsia="Times New Roman" w:cs="Times New Roman"/>
          <w:bCs/>
          <w:spacing w:val="-2"/>
          <w:sz w:val="28"/>
          <w:szCs w:val="28"/>
          <w:lang w:eastAsia="ru-RU"/>
          <w14:ligatures w14:val="all"/>
        </w:rPr>
        <w:t xml:space="preserve">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>
        <w:rPr>
          <w:rFonts w:ascii="PT Serif" w:hAnsi="PT Serif"/>
          <w:spacing w:val="-2"/>
          <w:sz w:val="39"/>
          <w:szCs w:val="39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»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highlight w:val="none"/>
          <w:shd w:val="clear" w:color="auto" w:fill="ffffff"/>
        </w:rPr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:highlight w:val="none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Пункт 3.1.25. абзац первый изложить в следующей редакции: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Педагогические работники образовательных организаций имеют право на длительный отпуск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»</w:t>
      </w:r>
      <w:r>
        <w:rPr>
          <w:rFonts w:ascii="Times New Roman" w:hAnsi="Times New Roman" w:cs="Times New Roman"/>
          <w:spacing w:val="-2"/>
          <w:sz w:val="39"/>
          <w:szCs w:val="39"/>
          <w:shd w:val="clear" w:color="auto" w:fill="ffffff"/>
        </w:rPr>
        <w:t xml:space="preserve">.</w:t>
      </w:r>
      <w:r/>
      <w:r/>
    </w:p>
    <w:p>
      <w:pPr>
        <w:pStyle w:val="1_1877"/>
        <w:contextualSpacing/>
        <w:ind w:firstLine="709"/>
        <w:jc w:val="center"/>
      </w:pPr>
      <w:r>
        <w:rPr>
          <w:b/>
          <w:bCs/>
          <w:highlight w:val="none"/>
        </w:rPr>
      </w:r>
      <w:r>
        <w:rPr>
          <w:b/>
          <w:bCs/>
        </w:rPr>
      </w:r>
      <w:r/>
    </w:p>
    <w:p>
      <w:pPr>
        <w:pStyle w:val="1_1877"/>
        <w:contextualSpacing/>
        <w:ind w:firstLine="709"/>
        <w:jc w:val="center"/>
      </w:pPr>
      <w:r>
        <w:rPr>
          <w:b/>
          <w:bCs/>
        </w:rPr>
        <w:t xml:space="preserve">Раздел Х</w:t>
      </w:r>
      <w:r>
        <w:rPr>
          <w:b/>
          <w:bCs/>
          <w:lang w:val="en-US"/>
        </w:rPr>
        <w:t xml:space="preserve">I</w:t>
      </w:r>
      <w:r>
        <w:rPr>
          <w:b/>
          <w:bCs/>
        </w:rPr>
        <w:t xml:space="preserve">. ГАРАНТИИ ПРОФСОЮЗНОЙ ДЕЯТЕЛЬНОСТИ</w:t>
      </w:r>
      <w:r>
        <w:rPr>
          <w:b/>
          <w:bCs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shd w:val="clear" w:color="auto" w:fill="ffffff"/>
        </w:rPr>
        <w:t xml:space="preserve">Добавить Пункт 11.1.10.1. в редакции:</w:t>
      </w:r>
      <w:r>
        <w:rPr>
          <w:color w:val="000000" w:themeColor="text1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Стороны рекомендуют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 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предусмотреть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 в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tt-RU" w:eastAsia="ru-RU"/>
          <w14:ligatures w14:val="all"/>
        </w:rPr>
        <w:t xml:space="preserve">коллективных договорах образовател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ru-RU"/>
          <w14:ligatures w14:val="all"/>
        </w:rPr>
        <w:t xml:space="preserve">ь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tt-RU" w:eastAsia="ru-RU"/>
          <w14:ligatures w14:val="all"/>
        </w:rPr>
        <w:t xml:space="preserve">ных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организаци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val="tt-RU" w:eastAsia="ru-RU"/>
          <w14:ligatures w14:val="all"/>
        </w:rPr>
        <w:t xml:space="preserve">й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 на предстоящий период: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- выплату заработной платы работникам не реже чем каждые полмесяца.  Конкретная дата выплаты заработной платы устанавливается правилами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внутреннего трудового распорядка, коллективным договором или трудовым договором не позднее 15 календарных дней со дня окончания периода, за который она начислена;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-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договором;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- п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р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е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д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о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ставление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неосвобожденным председателям выборных профсоюзных органов образовательных организаций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 до 10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дополнительн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ых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свободных от работы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оплачиваем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ых дн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ей;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- решение вопроса о предоставлении льготных кредитов работникам образования в соответствии</w:t>
      </w:r>
      <w:r>
        <w:rPr>
          <w:rFonts w:ascii="Times New Roman" w:hAnsi="Times New Roman" w:eastAsia="Times New Roman" w:cs="Times New Roman"/>
          <w:b/>
          <w:spacing w:val="-2"/>
          <w:sz w:val="28"/>
          <w:szCs w:val="28"/>
          <w:lang w:eastAsia="ru-RU"/>
          <w14:ligatures w14:val="all"/>
        </w:rPr>
        <w:t xml:space="preserve"> 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с </w:t>
      </w:r>
      <w:hyperlink r:id="rId12" w:tooltip="garantF1://12082235.0" w:history="1">
        <w:r>
          <w:rPr>
            <w:rFonts w:ascii="Times New Roman" w:hAnsi="Times New Roman" w:eastAsia="Times New Roman" w:cs="Times New Roman"/>
            <w:spacing w:val="-2"/>
            <w:sz w:val="28"/>
            <w:szCs w:val="28"/>
            <w:lang w:eastAsia="ru-RU"/>
            <w14:ligatures w14:val="all"/>
          </w:rPr>
          <w:t xml:space="preserve">постановлением Правительства Р</w:t>
        </w:r>
        <w:r>
          <w:rPr>
            <w:rFonts w:ascii="Times New Roman" w:hAnsi="Times New Roman" w:eastAsia="Times New Roman" w:cs="Times New Roman"/>
            <w:spacing w:val="-2"/>
            <w:sz w:val="28"/>
            <w:szCs w:val="28"/>
            <w:lang w:eastAsia="ru-RU"/>
            <w14:ligatures w14:val="all"/>
          </w:rPr>
          <w:t xml:space="preserve">оссийской Федерации</w:t>
        </w:r>
        <w:r>
          <w:rPr>
            <w:rFonts w:ascii="Times New Roman" w:hAnsi="Times New Roman" w:eastAsia="Times New Roman" w:cs="Times New Roman"/>
            <w:spacing w:val="-2"/>
            <w:sz w:val="28"/>
            <w:szCs w:val="28"/>
            <w:lang w:eastAsia="ru-RU"/>
            <w14:ligatures w14:val="all"/>
          </w:rPr>
          <w:t xml:space="preserve"> от 17 декабря 2010 г. </w:t>
        </w:r>
        <w:r>
          <w:rPr>
            <w:rFonts w:ascii="Times New Roman" w:hAnsi="Times New Roman" w:eastAsia="Times New Roman" w:cs="Times New Roman"/>
            <w:spacing w:val="-2"/>
            <w:sz w:val="28"/>
            <w:szCs w:val="28"/>
            <w:lang w:eastAsia="ru-RU"/>
            <w14:ligatures w14:val="all"/>
          </w:rPr>
          <w:t xml:space="preserve">№</w:t>
        </w:r>
        <w:r>
          <w:rPr>
            <w:rFonts w:ascii="Times New Roman" w:hAnsi="Times New Roman" w:eastAsia="Times New Roman" w:cs="Times New Roman"/>
            <w:spacing w:val="-2"/>
            <w:sz w:val="28"/>
            <w:szCs w:val="28"/>
            <w:lang w:eastAsia="ru-RU"/>
            <w14:ligatures w14:val="all"/>
          </w:rPr>
          <w:t xml:space="preserve"> 1050 </w:t>
        </w:r>
        <w:r>
          <w:rPr>
            <w:rFonts w:ascii="Times New Roman" w:hAnsi="Times New Roman" w:eastAsia="Times New Roman" w:cs="Times New Roman"/>
            <w:spacing w:val="-2"/>
            <w:sz w:val="28"/>
            <w:szCs w:val="28"/>
            <w:lang w:eastAsia="ru-RU"/>
            <w14:ligatures w14:val="all"/>
          </w:rPr>
          <w:t xml:space="preserve">«</w:t>
        </w:r>
      </w:hyperlink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 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- финансирование за счет средств профсоюзного бюджета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 и </w:t>
      </w:r>
      <w:r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  <w14:ligatures w14:val="all"/>
        </w:rPr>
        <w:t xml:space="preserve">бюджетов образовательных организаций мероприятий по созданию условий для отдыха работников отрасли и их детей.</w:t>
      </w:r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strike/>
          <w:spacing w:val="-2"/>
          <w:sz w:val="28"/>
          <w:szCs w:val="28"/>
          <w:lang w:eastAsia="ru-RU"/>
          <w14:ligatures w14:val="all"/>
        </w:rPr>
      </w:r>
      <w:r/>
    </w:p>
    <w:p>
      <w:pPr>
        <w:ind w:firstLine="698"/>
        <w:jc w:val="left"/>
        <w:spacing w:after="0" w:line="240" w:lineRule="auto"/>
        <w:widowControl w:val="off"/>
      </w:pPr>
      <w:r/>
      <w:bookmarkStart w:id="0" w:name="undefined"/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Дополнить приложение</w:t>
      </w:r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 №3 к коллективному договору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му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ниципального бюджетного общеобразовательного учреждения «Митряевская начальная общеобразовательная школа» Муслюмовского муниципального района Республики Татарстан</w:t>
      </w:r>
      <w:r>
        <w:rPr>
          <w:rFonts w:ascii="Times New Roman" w:hAnsi="Times New Roman" w:eastAsia="Calibri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на 2024-2026 годы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на основании </w:t>
      </w:r>
      <w:hyperlink w:tooltip="#sub_0" w:anchor="sub_0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письм</w:t>
        </w:r>
      </w:hyperlink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Минпросвещения</w:t>
      </w:r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 России </w:t>
      </w:r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и Общероссийского Профсоюза образования</w:t>
      </w:r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br/>
        <w:t xml:space="preserve">от 22 декабря 2025 г. N ОК-3775/08/756</w:t>
      </w:r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eastAsia="ru-RU"/>
        </w:rPr>
      </w:r>
      <w:r/>
    </w:p>
    <w:p>
      <w:pPr>
        <w:jc w:val="center"/>
        <w:spacing w:before="108" w:after="108" w:line="240" w:lineRule="auto"/>
        <w:widowControl w:val="off"/>
        <w:outlineLvl w:val="0"/>
      </w:pPr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Примерное положение</w:t>
      </w:r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br/>
        <w:t xml:space="preserve">о нормах профессиональной этики педагогических работников</w:t>
      </w:r>
      <w:r>
        <w:rPr>
          <w:color w:val="000000" w:themeColor="text1"/>
        </w:rPr>
      </w:r>
      <w:r/>
    </w:p>
    <w:p>
      <w:pPr>
        <w:jc w:val="center"/>
        <w:spacing w:before="108" w:after="108" w:line="240" w:lineRule="auto"/>
        <w:widowControl w:val="off"/>
        <w:outlineLvl w:val="0"/>
      </w:pPr>
      <w:r>
        <w:rPr>
          <w:color w:val="000000" w:themeColor="text1"/>
        </w:rPr>
      </w:r>
      <w:bookmarkStart w:id="0" w:name="undefined"/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I. Общие положения</w:t>
      </w:r>
      <w:bookmarkEnd w:id="0"/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1. 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3" w:tooltip="https://internet.garant.ru/document/redirect/10103000/0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Конституции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 Российской Федерации, </w:t>
      </w:r>
      <w:hyperlink r:id="rId14" w:tooltip="https://internet.garant.ru/document/redirect/12125268/0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Трудового кодекса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 Российской Федерации, </w:t>
      </w:r>
      <w:hyperlink r:id="rId15" w:tooltip="https://internet.garant.ru/document/redirect/70291362/0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Федерального закона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 от 29 декабря 2012 г. N 273-ФЗ "Об образовании в Российской Федерации" (далее - Закон об образовании), </w:t>
      </w:r>
      <w:hyperlink r:id="rId16" w:tooltip="https://internet.garant.ru/document/redirect/12164203/0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Федерального закона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 от 25 декабря 2008 г. N 273-ФЗ "О противодействии коррупции" и </w:t>
      </w:r>
      <w:hyperlink r:id="rId17" w:tooltip="https://internet.garant.ru/document/redirect/12181695/0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Федерального закона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 от 29 декабря 2010 г. N 436-ФЗ "О защите детей от информации, причиняющей вред их здоровью и развитию".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2. 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</w:t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</w:r>
      <w:r>
        <w:rPr>
          <w:color w:val="000000" w:themeColor="text1"/>
        </w:rPr>
      </w:r>
      <w:r/>
    </w:p>
    <w:p>
      <w:pPr>
        <w:jc w:val="center"/>
        <w:spacing w:before="108" w:after="108" w:line="240" w:lineRule="auto"/>
        <w:widowControl w:val="off"/>
        <w:outlineLvl w:val="0"/>
      </w:pPr>
      <w:r>
        <w:rPr>
          <w:color w:val="000000" w:themeColor="text1"/>
        </w:rPr>
      </w:r>
      <w:bookmarkStart w:id="0" w:name="undefined"/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II. Нормы профессиональной этики педагогических работников</w:t>
      </w:r>
      <w:bookmarkEnd w:id="0"/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3. 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  <w:bookmarkEnd w:id="0"/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Нормы профессиональной этики, предусмотренные </w:t>
      </w:r>
      <w:hyperlink r:id="rId18" w:tooltip="https://internet.garant.ru/document/redirect/70291362/0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Законом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 об образовании: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- обязанность педагогических работников следовать требованиям профессиональной этики (</w:t>
      </w:r>
      <w:hyperlink r:id="rId19" w:tooltip="https://internet.garant.ru/document/redirect/70291362/108586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п. 2 ч. 1 ст. 48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);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- закрепление норм профессиональной этики в локальных нормативных актах образовательной организации (</w:t>
      </w:r>
      <w:hyperlink r:id="rId20" w:tooltip="https://internet.garant.ru/document/redirect/70291362/108571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ч. 4 ст. 47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);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- 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1" w:tooltip="https://internet.garant.ru/document/redirect/70291362/108599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ч. 4 ст. 48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).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4. Педагогические работники при всех обстоятельствах должны сохранять честь и достоинство, присущие их деятельности.</w:t>
      </w:r>
      <w:bookmarkEnd w:id="0"/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Педагогические работники, сознавая ответственность перед государством, обществом и гражданами, призваны: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а) уважать честь и достоинство обучающихся и других участников образовательных отношений;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д) не оказывать предпочтения каким-либо </w:t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  <w:r>
        <w:rPr>
          <w:color w:val="000000" w:themeColor="text1"/>
        </w:rPr>
      </w:r>
      <w:r/>
    </w:p>
    <w:p>
      <w:pPr>
        <w:ind w:left="170"/>
        <w:jc w:val="both"/>
        <w:spacing w:before="75"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auto"/>
          <w:sz w:val="28"/>
          <w:szCs w:val="28"/>
          <w:shd w:val="clear" w:color="auto" w:fill="f0f0f0"/>
          <w:lang w:eastAsia="ru-RU"/>
        </w:rPr>
        <w:t xml:space="preserve">ГАРАНТ:</w:t>
      </w:r>
      <w:r>
        <w:rPr>
          <w:color w:val="auto"/>
        </w:rPr>
      </w:r>
      <w:r/>
    </w:p>
    <w:p>
      <w:pPr>
        <w:ind w:left="170"/>
        <w:jc w:val="both"/>
        <w:spacing w:before="75"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color w:val="auto"/>
          <w:sz w:val="28"/>
          <w:szCs w:val="28"/>
          <w:shd w:val="clear" w:color="auto" w:fill="f0f0f0"/>
          <w:lang w:eastAsia="ru-RU"/>
        </w:rPr>
        <w:t xml:space="preserve">Нумерация подпунктов приводится в соответствии с источником</w:t>
      </w:r>
      <w:r>
        <w:rPr>
          <w:color w:val="c00000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ж) соблюдать при выполнении профессиональных обязанностей равенство прав и св</w:t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</w:t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и) соблюдать правила русского языка, культуру своей речи, не допускать использования ненормативн</w:t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</w:t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иками образовательных отношений посредством информационно-телекоммуникационной сети "Интернет",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к)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л) избегать ситуаций, способных нанести вред чести, достоинству и деловой </w:t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м) принимать меры по недопущению возникновения и урегулированию возн</w:t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</w:r>
      <w:r>
        <w:rPr>
          <w:color w:val="000000" w:themeColor="text1"/>
        </w:rPr>
      </w:r>
      <w:r/>
    </w:p>
    <w:p>
      <w:pPr>
        <w:jc w:val="center"/>
        <w:spacing w:before="108" w:after="108" w:line="240" w:lineRule="auto"/>
        <w:widowControl w:val="off"/>
        <w:outlineLvl w:val="0"/>
      </w:pPr>
      <w:r>
        <w:rPr>
          <w:color w:val="000000" w:themeColor="text1"/>
        </w:rPr>
      </w:r>
      <w:bookmarkStart w:id="0" w:name="undefined"/>
      <w:r>
        <w:rPr>
          <w:rFonts w:ascii="Times New Roman" w:hAnsi="Times New Roman" w:cs="Times New Roman" w:eastAsiaTheme="minorEastAsia"/>
          <w:b/>
          <w:bCs/>
          <w:color w:val="000000" w:themeColor="text1"/>
          <w:sz w:val="28"/>
          <w:szCs w:val="28"/>
          <w:lang w:eastAsia="ru-RU"/>
        </w:rPr>
        <w:t xml:space="preserve"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  <w:bookmarkEnd w:id="0"/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5. Образовательная организация стремится обеспечить защиту чести, достоинства и дел</w:t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овой репутации педагогических работников, способствовать формированию благоприятного для эффективной работы морально-</w:t>
      </w:r>
      <w:r>
        <w:rPr>
          <w:highlight w:val="none"/>
        </w:rPr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  <w:r/>
      <w:r/>
    </w:p>
    <w:p>
      <w:pPr>
        <w:ind w:firstLine="720"/>
        <w:jc w:val="both"/>
        <w:spacing w:after="0" w:line="240" w:lineRule="auto"/>
        <w:widowControl w:val="off"/>
      </w:pPr>
      <w:r>
        <w:rPr>
          <w:color w:val="000000" w:themeColor="text1"/>
        </w:rPr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6. Случаи нарушения норм профессиональной этики педагогических работников, установленных </w:t>
      </w:r>
      <w:hyperlink w:tooltip="#sub_1200" w:anchor="sub_1200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разделом II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2" w:tooltip="https://internet.garant.ru/document/redirect/70291362/108548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частью 2 статьи 45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 Федерального закона от 29 декабря 2012 г. N 273-ФЗ "Об образовании в Российской Федерации".</w:t>
      </w:r>
      <w:r>
        <w:rPr>
          <w:color w:val="000000" w:themeColor="text1"/>
        </w:rPr>
      </w:r>
      <w:r/>
    </w:p>
    <w:p>
      <w:pPr>
        <w:ind w:firstLine="720"/>
        <w:jc w:val="both"/>
        <w:spacing w:after="0" w:line="240" w:lineRule="auto"/>
        <w:widowControl w:val="off"/>
      </w:pP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3" w:tooltip="https://internet.garant.ru/document/redirect/12125268/1060" w:history="1">
        <w:r>
          <w:rPr>
            <w:rFonts w:ascii="Times New Roman" w:hAnsi="Times New Roman" w:cs="Times New Roman" w:eastAsiaTheme="minorEastAsia"/>
            <w:color w:val="000000" w:themeColor="text1"/>
            <w:sz w:val="28"/>
            <w:szCs w:val="28"/>
            <w:lang w:eastAsia="ru-RU"/>
          </w:rPr>
          <w:t xml:space="preserve">главой 60</w:t>
        </w:r>
      </w:hyperlink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  <w:r>
        <w:rPr>
          <w:color w:val="000000" w:themeColor="text1"/>
        </w:rPr>
      </w:r>
      <w:r/>
    </w:p>
    <w:p>
      <w:pPr>
        <w:rPr>
          <w:highlight w:val="none"/>
        </w:rPr>
      </w:pPr>
      <w:r>
        <w:rPr>
          <w:color w:val="000000" w:themeColor="text1"/>
        </w:rPr>
      </w:r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  <w:t xml:space="preserve">7. Педагогический работник, претендующий на справедливое и объективно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  <w:r/>
      <w:r/>
      <w:r>
        <w:rPr>
          <w:rFonts w:ascii="Times New Roman" w:hAnsi="Times New Roman" w:cs="Times New Roman" w:eastAsiaTheme="minorEastAsia"/>
          <w:color w:val="000000" w:themeColor="text1"/>
          <w:sz w:val="28"/>
          <w:szCs w:val="28"/>
          <w:lang w:eastAsia="ru-RU"/>
        </w:rPr>
      </w:r>
      <w:r/>
      <w:r/>
      <w:r/>
      <w:r/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49765" cy="558681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57034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rcRect l="8079" t="37602" r="5182" b="0"/>
                        <a:stretch/>
                      </pic:blipFill>
                      <pic:spPr bwMode="auto">
                        <a:xfrm flipH="0" flipV="0">
                          <a:off x="0" y="0"/>
                          <a:ext cx="5649764" cy="5586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44.9pt;height:439.9pt;mso-wrap-distance-left:0.0pt;mso-wrap-distance-top:0.0pt;mso-wrap-distance-right:0.0pt;mso-wrap-distance-bottom:0.0pt;" stroked="false">
                <v:path textboxrect="0,0,0,0"/>
                <v:imagedata r:id="rId24" o:title=""/>
              </v:shape>
            </w:pict>
          </mc:Fallback>
        </mc:AlternateConten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sectPr>
      <w:headerReference w:type="default" r:id="rId8"/>
      <w:footnotePr/>
      <w:endnotePr/>
      <w:type w:val="nextPage"/>
      <w:pgSz w:w="11906" w:h="16838" w:orient="portrait"/>
      <w:pgMar w:top="567" w:right="850" w:bottom="822" w:left="155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Serif">
    <w:panose1 w:val="020A0603040505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  <w:style w:type="paragraph" w:styleId="1_1876" w:customStyle="1">
    <w:name w:val="Body Text 3"/>
    <w:basedOn w:val="716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877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jpg"/><Relationship Id="rId10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12" Type="http://schemas.openxmlformats.org/officeDocument/2006/relationships/hyperlink" Target="garantF1://12082235.0" TargetMode="External"/><Relationship Id="rId13" Type="http://schemas.openxmlformats.org/officeDocument/2006/relationships/hyperlink" Target="https://internet.garant.ru/document/redirect/10103000/0" TargetMode="External"/><Relationship Id="rId14" Type="http://schemas.openxmlformats.org/officeDocument/2006/relationships/hyperlink" Target="https://internet.garant.ru/document/redirect/12125268/0" TargetMode="External"/><Relationship Id="rId15" Type="http://schemas.openxmlformats.org/officeDocument/2006/relationships/hyperlink" Target="https://internet.garant.ru/document/redirect/70291362/0" TargetMode="External"/><Relationship Id="rId16" Type="http://schemas.openxmlformats.org/officeDocument/2006/relationships/hyperlink" Target="https://internet.garant.ru/document/redirect/12164203/0" TargetMode="External"/><Relationship Id="rId17" Type="http://schemas.openxmlformats.org/officeDocument/2006/relationships/hyperlink" Target="https://internet.garant.ru/document/redirect/12181695/0" TargetMode="External"/><Relationship Id="rId18" Type="http://schemas.openxmlformats.org/officeDocument/2006/relationships/hyperlink" Target="https://internet.garant.ru/document/redirect/70291362/0" TargetMode="External"/><Relationship Id="rId19" Type="http://schemas.openxmlformats.org/officeDocument/2006/relationships/hyperlink" Target="https://internet.garant.ru/document/redirect/70291362/108586" TargetMode="External"/><Relationship Id="rId20" Type="http://schemas.openxmlformats.org/officeDocument/2006/relationships/hyperlink" Target="https://internet.garant.ru/document/redirect/70291362/108571" TargetMode="External"/><Relationship Id="rId21" Type="http://schemas.openxmlformats.org/officeDocument/2006/relationships/hyperlink" Target="https://internet.garant.ru/document/redirect/70291362/108599" TargetMode="External"/><Relationship Id="rId22" Type="http://schemas.openxmlformats.org/officeDocument/2006/relationships/hyperlink" Target="https://internet.garant.ru/document/redirect/70291362/108548" TargetMode="External"/><Relationship Id="rId23" Type="http://schemas.openxmlformats.org/officeDocument/2006/relationships/hyperlink" Target="https://internet.garant.ru/document/redirect/12125268/1060" TargetMode="External"/><Relationship Id="rId24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2026-02-04T15:20:59Z</dcterms:modified>
</cp:coreProperties>
</file>